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333EB3">
        <w:rPr>
          <w:rFonts w:ascii="Arial" w:hAnsi="Arial" w:cs="Arial"/>
          <w:b/>
        </w:rPr>
        <w:t xml:space="preserve">BOAVENTURA BOÁS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333EB3">
        <w:rPr>
          <w:rFonts w:ascii="Arial" w:hAnsi="Arial" w:cs="Arial"/>
          <w:b/>
        </w:rPr>
        <w:t>334.421.933-20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EE672C">
        <w:rPr>
          <w:rFonts w:ascii="Arial" w:hAnsi="Arial" w:cs="Arial"/>
          <w:b/>
          <w:sz w:val="28"/>
          <w:szCs w:val="28"/>
          <w:u w:val="single"/>
        </w:rPr>
        <w:t>INABILITADO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EE672C">
              <w:rPr>
                <w:rFonts w:ascii="Arial" w:hAnsi="Arial" w:cs="Arial"/>
                <w:sz w:val="20"/>
                <w:szCs w:val="20"/>
              </w:rPr>
              <w:t xml:space="preserve">Portfólio </w:t>
            </w:r>
          </w:p>
          <w:p w:rsidR="00441F3B" w:rsidRDefault="00441F3B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 comprov de residência no seu nome. </w:t>
            </w:r>
          </w:p>
          <w:p w:rsidR="00DA4277" w:rsidRPr="00ED64A5" w:rsidRDefault="00DA4277" w:rsidP="00ED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EB5A0C" w:rsidP="00441F3B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41F3B">
              <w:rPr>
                <w:rFonts w:ascii="Arial" w:hAnsi="Arial" w:cs="Arial"/>
                <w:sz w:val="20"/>
                <w:szCs w:val="20"/>
              </w:rPr>
              <w:t xml:space="preserve">Comprov de residência apresentado está no nome de terceiros. </w:t>
            </w:r>
          </w:p>
        </w:tc>
      </w:tr>
      <w:tr w:rsidR="00FA545E" w:rsidRPr="005D3B59" w:rsidTr="009654EC">
        <w:tc>
          <w:tcPr>
            <w:tcW w:w="978" w:type="dxa"/>
            <w:vAlign w:val="center"/>
          </w:tcPr>
          <w:p w:rsidR="00FA545E" w:rsidRDefault="00FA545E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4976" w:type="dxa"/>
          </w:tcPr>
          <w:p w:rsidR="00FA545E" w:rsidRPr="001E4CAD" w:rsidRDefault="00FA545E" w:rsidP="00FA545E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FA545E" w:rsidRPr="005D3B59" w:rsidRDefault="00FA545E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45E" w:rsidRPr="005D3B59" w:rsidRDefault="00FA545E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FA545E" w:rsidRPr="00FA545E" w:rsidRDefault="00FA545E" w:rsidP="00441F3B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Apresentou</w:t>
            </w:r>
            <w:r w:rsidR="00441F3B">
              <w:rPr>
                <w:rFonts w:ascii="Arial" w:hAnsi="Arial" w:cs="Arial"/>
                <w:sz w:val="20"/>
                <w:szCs w:val="20"/>
              </w:rPr>
              <w:t xml:space="preserve"> extrato bancário no nome da Filha, o que vai de encontro com o que diz o item 9,5 deste </w:t>
            </w:r>
            <w:bookmarkStart w:id="0" w:name="_GoBack"/>
            <w:bookmarkEnd w:id="0"/>
            <w:r w:rsidR="00441F3B">
              <w:rPr>
                <w:rFonts w:ascii="Arial" w:hAnsi="Arial" w:cs="Arial"/>
                <w:sz w:val="20"/>
                <w:szCs w:val="20"/>
              </w:rPr>
              <w:t>edital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4D" w:rsidRDefault="007A5D4D" w:rsidP="00CF354C">
      <w:pPr>
        <w:spacing w:after="0" w:line="240" w:lineRule="auto"/>
      </w:pPr>
      <w:r>
        <w:separator/>
      </w:r>
    </w:p>
  </w:endnote>
  <w:endnote w:type="continuationSeparator" w:id="0">
    <w:p w:rsidR="007A5D4D" w:rsidRDefault="007A5D4D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4D" w:rsidRDefault="007A5D4D" w:rsidP="00CF354C">
      <w:pPr>
        <w:spacing w:after="0" w:line="240" w:lineRule="auto"/>
      </w:pPr>
      <w:r>
        <w:separator/>
      </w:r>
    </w:p>
  </w:footnote>
  <w:footnote w:type="continuationSeparator" w:id="0">
    <w:p w:rsidR="007A5D4D" w:rsidRDefault="007A5D4D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7A5D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D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7A5D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87460816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3EB3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41F3B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E2EA7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5D4D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F6BF-D2B5-4E7F-A7A1-E796ADA2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2021-01-16T18:17:00Z</dcterms:created>
  <dcterms:modified xsi:type="dcterms:W3CDTF">2021-01-16T18:23:00Z</dcterms:modified>
</cp:coreProperties>
</file>